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700" w:rsidRDefault="003E6700" w:rsidP="003E6700">
      <w:pPr>
        <w:spacing w:line="480" w:lineRule="auto"/>
        <w:jc w:val="center"/>
        <w:rPr>
          <w:b/>
        </w:rPr>
      </w:pPr>
    </w:p>
    <w:p w:rsidR="003E6700" w:rsidRPr="003E6700" w:rsidRDefault="003E6700" w:rsidP="006060C6">
      <w:pPr>
        <w:spacing w:line="480" w:lineRule="auto"/>
        <w:jc w:val="center"/>
        <w:rPr>
          <w:b/>
        </w:rPr>
      </w:pPr>
      <w:r w:rsidRPr="003E6700">
        <w:rPr>
          <w:b/>
        </w:rPr>
        <w:t>Alzheimer’s disease (AD): Clinical Case Presentation</w:t>
      </w:r>
    </w:p>
    <w:p w:rsidR="003E6700" w:rsidRDefault="003E6700" w:rsidP="006060C6">
      <w:pPr>
        <w:spacing w:line="480" w:lineRule="auto"/>
      </w:pPr>
    </w:p>
    <w:p w:rsidR="003E6700" w:rsidRPr="003E6700" w:rsidRDefault="003E6700" w:rsidP="003E6700">
      <w:pPr>
        <w:spacing w:line="480" w:lineRule="auto"/>
        <w:jc w:val="center"/>
      </w:pPr>
      <w:r w:rsidRPr="003E6700">
        <w:t>Student’s Name</w:t>
      </w:r>
    </w:p>
    <w:p w:rsidR="003E6700" w:rsidRPr="003E6700" w:rsidRDefault="003E6700" w:rsidP="003E6700">
      <w:pPr>
        <w:spacing w:line="480" w:lineRule="auto"/>
        <w:jc w:val="center"/>
      </w:pPr>
      <w:r w:rsidRPr="003E6700">
        <w:t>Institution of Affiliation</w:t>
      </w:r>
    </w:p>
    <w:p w:rsidR="003E6700" w:rsidRPr="003E6700" w:rsidRDefault="003E6700" w:rsidP="003E6700">
      <w:pPr>
        <w:spacing w:line="480" w:lineRule="auto"/>
        <w:jc w:val="center"/>
      </w:pPr>
      <w:r w:rsidRPr="003E6700">
        <w:t>Professor</w:t>
      </w:r>
    </w:p>
    <w:p w:rsidR="003E6700" w:rsidRPr="003E6700" w:rsidRDefault="003E6700" w:rsidP="003E6700">
      <w:pPr>
        <w:spacing w:line="480" w:lineRule="auto"/>
        <w:jc w:val="center"/>
      </w:pPr>
      <w:r w:rsidRPr="003E6700">
        <w:t>Date</w:t>
      </w:r>
    </w:p>
    <w:p w:rsidR="003E6700" w:rsidRDefault="003E6700">
      <w:r>
        <w:br w:type="page"/>
      </w:r>
    </w:p>
    <w:p w:rsidR="003E6700" w:rsidRPr="006060C6" w:rsidRDefault="003E6700" w:rsidP="006060C6">
      <w:pPr>
        <w:spacing w:line="480" w:lineRule="auto"/>
        <w:jc w:val="center"/>
        <w:rPr>
          <w:b/>
        </w:rPr>
      </w:pPr>
      <w:r w:rsidRPr="006060C6">
        <w:rPr>
          <w:b/>
        </w:rPr>
        <w:lastRenderedPageBreak/>
        <w:t>Alzheimer’s disease (AD): Clinical Case Presentation</w:t>
      </w:r>
    </w:p>
    <w:p w:rsidR="005A5160" w:rsidRPr="003E6700" w:rsidRDefault="007E10E8" w:rsidP="003E6700">
      <w:pPr>
        <w:spacing w:line="480" w:lineRule="auto"/>
        <w:ind w:firstLine="720"/>
      </w:pPr>
      <w:r w:rsidRPr="003E6700">
        <w:t xml:space="preserve">Alzheimer’s disease is one of the many progressive and debilitating neurodegenerative disease </w:t>
      </w:r>
      <w:r w:rsidR="00A37ADF" w:rsidRPr="003E6700">
        <w:t>that has been ranked as the “</w:t>
      </w:r>
      <w:r w:rsidR="00A37ADF" w:rsidRPr="003E6700">
        <w:rPr>
          <w:i/>
        </w:rPr>
        <w:t>sixth leading cause of death in the United Sates and the fifth leading cause of death among Americans age 65 and older</w:t>
      </w:r>
      <w:r w:rsidR="00A37ADF" w:rsidRPr="003E6700">
        <w:t xml:space="preserve">” </w:t>
      </w:r>
      <w:r w:rsidRPr="003E6700">
        <w:t>(</w:t>
      </w:r>
      <w:r w:rsidR="002703A0" w:rsidRPr="003E6700">
        <w:t>AAR, 2020</w:t>
      </w:r>
      <w:r w:rsidRPr="003E6700">
        <w:t>). It has highly been associated with the aging process with its occurrence rates increasing with the increase in the age of the population in addition to increasing longevity ensuring that its prevalence will rise even further (</w:t>
      </w:r>
      <w:proofErr w:type="spellStart"/>
      <w:r w:rsidR="002703A0" w:rsidRPr="003E6700">
        <w:t>Swerdlow</w:t>
      </w:r>
      <w:proofErr w:type="spellEnd"/>
      <w:r w:rsidR="002703A0" w:rsidRPr="003E6700">
        <w:t>, 2007</w:t>
      </w:r>
      <w:r w:rsidRPr="003E6700">
        <w:t>)</w:t>
      </w:r>
      <w:r w:rsidR="005A5160" w:rsidRPr="003E6700">
        <w:t xml:space="preserve"> with up to approximately 13.8 million Americans age 65 and older being predicted as having developed Alzheimer’s dementia by mid-century (</w:t>
      </w:r>
      <w:r w:rsidR="002703A0" w:rsidRPr="003E6700">
        <w:t>AAR, 2020</w:t>
      </w:r>
      <w:r w:rsidR="005A5160" w:rsidRPr="003E6700">
        <w:t>)</w:t>
      </w:r>
      <w:r w:rsidRPr="003E6700">
        <w:t>.</w:t>
      </w:r>
    </w:p>
    <w:p w:rsidR="008E5383" w:rsidRPr="003E6700" w:rsidRDefault="007E10E8" w:rsidP="003E6700">
      <w:pPr>
        <w:spacing w:line="480" w:lineRule="auto"/>
        <w:ind w:firstLine="720"/>
      </w:pPr>
      <w:r w:rsidRPr="003E6700">
        <w:t xml:space="preserve"> In the pathogenesis of the disease, there are several theories that have been proposed which include the implication of the acetylcholine neurotransmitter system and the deposition of </w:t>
      </w:r>
      <w:r w:rsidR="005A5160" w:rsidRPr="003E6700">
        <w:t>beta-</w:t>
      </w:r>
      <w:r w:rsidRPr="003E6700">
        <w:t xml:space="preserve">amyloid plaques within the </w:t>
      </w:r>
      <w:r w:rsidR="004E0993" w:rsidRPr="003E6700">
        <w:t>brain structures of patients wi</w:t>
      </w:r>
      <w:r w:rsidRPr="003E6700">
        <w:t>th Alzheimer’s disease.</w:t>
      </w:r>
      <w:r w:rsidR="004E0993" w:rsidRPr="003E6700">
        <w:t xml:space="preserve"> The implicated amyloid protein here is the amyloid beta protein which is derived from the non-conventional breakdown of the amyloid precursor protein which has been demonstrated as accumulating in the brain</w:t>
      </w:r>
      <w:r w:rsidR="005A5160" w:rsidRPr="003E6700">
        <w:t>s</w:t>
      </w:r>
      <w:r w:rsidR="004E0993" w:rsidRPr="003E6700">
        <w:t xml:space="preserve"> of patients with Alzheimer’s disease. The deposition of these amyloid plaques </w:t>
      </w:r>
      <w:r w:rsidR="005A5160" w:rsidRPr="003E6700">
        <w:t xml:space="preserve">extracellularly </w:t>
      </w:r>
      <w:r w:rsidR="004E0993" w:rsidRPr="003E6700">
        <w:t xml:space="preserve">coupled with the accumulation of the intracellular neurofibrillary tangles </w:t>
      </w:r>
      <w:r w:rsidR="005A5160" w:rsidRPr="003E6700">
        <w:t>of hyper-phosphorylated tau (</w:t>
      </w:r>
      <w:r w:rsidR="003E6700" w:rsidRPr="003E6700">
        <w:t xml:space="preserve">Weller &amp; </w:t>
      </w:r>
      <w:proofErr w:type="spellStart"/>
      <w:r w:rsidR="003E6700" w:rsidRPr="003E6700">
        <w:t>Budson</w:t>
      </w:r>
      <w:proofErr w:type="spellEnd"/>
      <w:r w:rsidR="003E6700" w:rsidRPr="003E6700">
        <w:t>, 2018</w:t>
      </w:r>
      <w:r w:rsidR="005A5160" w:rsidRPr="003E6700">
        <w:t xml:space="preserve">) </w:t>
      </w:r>
      <w:r w:rsidR="004E0993" w:rsidRPr="003E6700">
        <w:t>severely impairs the functions of the affected parts of the brain where the accumulations are localized thus leading to the visible signs and symptoms of the disease. The other pathophysiologic process implicated in the pathogenesis of this disease involves the synaptic degeneration and hippocampal neuronal loss of acetylcholine associated neuronal pathways in addition to aneuploidy</w:t>
      </w:r>
      <w:r w:rsidR="005A5160" w:rsidRPr="003E6700">
        <w:t xml:space="preserve"> (</w:t>
      </w:r>
      <w:proofErr w:type="spellStart"/>
      <w:r w:rsidR="002703A0" w:rsidRPr="003E6700">
        <w:t>Swerdlow</w:t>
      </w:r>
      <w:proofErr w:type="spellEnd"/>
      <w:r w:rsidR="002703A0" w:rsidRPr="003E6700">
        <w:t>, 2007</w:t>
      </w:r>
      <w:r w:rsidR="005A5160" w:rsidRPr="003E6700">
        <w:t>)</w:t>
      </w:r>
      <w:r w:rsidR="004E0993" w:rsidRPr="003E6700">
        <w:t xml:space="preserve">. This severely impairs the acetylcholine dependent neuronal pathways and especially within the hippocampus which is known to assume </w:t>
      </w:r>
      <w:r w:rsidR="0000332F" w:rsidRPr="003E6700">
        <w:t>very important functions within the limbic system, a cortical region of the brain that regulates motivation, emotion, learning, and memory (</w:t>
      </w:r>
      <w:proofErr w:type="spellStart"/>
      <w:r w:rsidR="002703A0" w:rsidRPr="003E6700">
        <w:t>Swerdlow</w:t>
      </w:r>
      <w:proofErr w:type="spellEnd"/>
      <w:r w:rsidR="002703A0" w:rsidRPr="003E6700">
        <w:t xml:space="preserve">, </w:t>
      </w:r>
      <w:r w:rsidR="002703A0" w:rsidRPr="003E6700">
        <w:lastRenderedPageBreak/>
        <w:t>2007</w:t>
      </w:r>
      <w:r w:rsidR="0000332F" w:rsidRPr="003E6700">
        <w:t>). Therefore, it follows that the disruption of these brain function will lead to the primary signs and symptoms of the disease notably dementia. Alzheimer’s disease is the most common cause of dementia which is the continuous decline in thinking, behavioral, and social skills which significantly negatively affects the patient’s ability to function independently</w:t>
      </w:r>
      <w:r w:rsidR="003E6700" w:rsidRPr="003E6700">
        <w:t xml:space="preserve"> (AAR, 2020</w:t>
      </w:r>
      <w:r w:rsidR="005A5160" w:rsidRPr="003E6700">
        <w:t>)</w:t>
      </w:r>
      <w:r w:rsidR="0000332F" w:rsidRPr="003E6700">
        <w:t xml:space="preserve">. The other signs and symptoms include </w:t>
      </w:r>
      <w:r w:rsidR="005A5160" w:rsidRPr="003E6700">
        <w:t xml:space="preserve">range from mild </w:t>
      </w:r>
      <w:r w:rsidR="0000332F" w:rsidRPr="003E6700">
        <w:t xml:space="preserve">forgetfulness of especially recent events which, as the disease progresses, develops into severe memory impairment, </w:t>
      </w:r>
      <w:r w:rsidR="005A5160" w:rsidRPr="003E6700">
        <w:t xml:space="preserve">and later </w:t>
      </w:r>
      <w:r w:rsidR="0000332F" w:rsidRPr="003E6700">
        <w:t xml:space="preserve">to loss of ability to carry out everyday tasks. </w:t>
      </w:r>
    </w:p>
    <w:p w:rsidR="005A5160" w:rsidRPr="003E6700" w:rsidRDefault="005A5160" w:rsidP="003E6700">
      <w:pPr>
        <w:spacing w:line="480" w:lineRule="auto"/>
        <w:ind w:firstLine="720"/>
      </w:pPr>
      <w:r w:rsidRPr="003E6700">
        <w:t>The diagnosis of the disease is dependent on the use of histopathologic examinations of brain tissue biopsy from the patients that is considered the ‘gold standard’ diagnostic test for the disease. The examination quantifies the amount of amyloid plaques and tangles within the sample to determine if it meets the histopathologic diagnostic standards for AD (</w:t>
      </w:r>
      <w:proofErr w:type="spellStart"/>
      <w:r w:rsidR="002703A0" w:rsidRPr="003E6700">
        <w:t>Swerdlow</w:t>
      </w:r>
      <w:proofErr w:type="spellEnd"/>
      <w:r w:rsidR="002703A0" w:rsidRPr="003E6700">
        <w:t>, 2007</w:t>
      </w:r>
      <w:r w:rsidRPr="003E6700">
        <w:t>). Secondly, there is the use of fluid and imaging biomarkers that are used ideally to identify the nature of the plaques within the tissue and some of the byproducts within the sample that are suggestive of the disease process taking place within the brain of the affected patient</w:t>
      </w:r>
      <w:r w:rsidR="00280713" w:rsidRPr="003E6700">
        <w:t>s. Lastly, there is the use of diagnosis criteria within the clinical setup where the clinical presentation of the patient is crossed checked with the available criteria to determine whether the presentation fulfils the diagnosis of AD or not. This helps to improve the suspicion index for the disease in addition to helping support the diagnosis by the other tests and examinations performed in investigating the case for AD.</w:t>
      </w:r>
    </w:p>
    <w:p w:rsidR="0000332F" w:rsidRPr="003E6700" w:rsidRDefault="00280713" w:rsidP="003E6700">
      <w:pPr>
        <w:spacing w:line="480" w:lineRule="auto"/>
        <w:ind w:firstLine="720"/>
      </w:pPr>
      <w:r w:rsidRPr="003E6700">
        <w:t>Then current evidence-based treatment modality for AD is targeted towards symptomatic therapy with recent trails aimed at reducing the production and overall burden of pathology within the brain  of the affected individuals</w:t>
      </w:r>
      <w:r w:rsidR="002703A0" w:rsidRPr="003E6700">
        <w:t xml:space="preserve"> (Weller &amp; </w:t>
      </w:r>
      <w:proofErr w:type="spellStart"/>
      <w:r w:rsidR="002703A0" w:rsidRPr="003E6700">
        <w:t>Budson</w:t>
      </w:r>
      <w:proofErr w:type="spellEnd"/>
      <w:r w:rsidR="002703A0" w:rsidRPr="003E6700">
        <w:t>, 2018</w:t>
      </w:r>
      <w:r w:rsidRPr="003E6700">
        <w:t xml:space="preserve">). The symptomatic therapy employs pharmacological treatments that have been determined to have limited efficacy with </w:t>
      </w:r>
      <w:r w:rsidRPr="003E6700">
        <w:lastRenderedPageBreak/>
        <w:t>considerable side effects</w:t>
      </w:r>
      <w:r w:rsidR="00E52581" w:rsidRPr="003E6700">
        <w:t xml:space="preserve"> (</w:t>
      </w:r>
      <w:proofErr w:type="spellStart"/>
      <w:r w:rsidR="003E6700" w:rsidRPr="003E6700">
        <w:t>Zucchella</w:t>
      </w:r>
      <w:proofErr w:type="spellEnd"/>
      <w:r w:rsidR="003E6700" w:rsidRPr="003E6700">
        <w:t xml:space="preserve"> et al., 2018</w:t>
      </w:r>
      <w:r w:rsidR="00E52581" w:rsidRPr="003E6700">
        <w:t>)</w:t>
      </w:r>
      <w:r w:rsidRPr="003E6700">
        <w:t xml:space="preserve">. The </w:t>
      </w:r>
      <w:r w:rsidR="00E52581" w:rsidRPr="003E6700">
        <w:t>current shift is towards a multidisciplinary approach to the management of AD using non-pharmacological treatment (NPT) that introduces a wide range of approaches and techniques that can be employed in the management of both AD and dementia. Examples of these NPT include “</w:t>
      </w:r>
      <w:r w:rsidR="00E52581" w:rsidRPr="003E6700">
        <w:rPr>
          <w:i/>
        </w:rPr>
        <w:t>exercise and motor rehabilitation, cognitive rehabilitation, NPT for behavioral and psychological symptoms of dementia, occupational and psychological therapy, complementary and alternative medicine, and new technologies including virtual reality, gaming, assistive technology, and telemedicine</w:t>
      </w:r>
      <w:r w:rsidR="00E52581" w:rsidRPr="003E6700">
        <w:t>” (</w:t>
      </w:r>
      <w:proofErr w:type="spellStart"/>
      <w:r w:rsidR="003E6700" w:rsidRPr="003E6700">
        <w:t>Zucchella</w:t>
      </w:r>
      <w:proofErr w:type="spellEnd"/>
      <w:r w:rsidR="003E6700" w:rsidRPr="003E6700">
        <w:t xml:space="preserve"> et al., 2018</w:t>
      </w:r>
      <w:r w:rsidR="00E52581" w:rsidRPr="003E6700">
        <w:t xml:space="preserve">). </w:t>
      </w:r>
      <w:r w:rsidR="0000332F" w:rsidRPr="003E6700">
        <w:t>The current evidence-based treatment medications for this disease only help to temporarily improve the symptoms of the disease or reduce the rate of decline that is depicted by the patient. Consequently, they help the patients to maximize function and maintain independence for a</w:t>
      </w:r>
      <w:r w:rsidR="00A37ADF" w:rsidRPr="003E6700">
        <w:t xml:space="preserve"> time. </w:t>
      </w:r>
    </w:p>
    <w:p w:rsidR="00E52581" w:rsidRPr="003E6700" w:rsidRDefault="00E52581" w:rsidP="003E6700">
      <w:pPr>
        <w:spacing w:line="480" w:lineRule="auto"/>
        <w:ind w:firstLine="720"/>
      </w:pPr>
      <w:r w:rsidRPr="003E6700">
        <w:t xml:space="preserve">The information presented within this clinical case presentation informs the practice of a master’s prepared nurse by way of adding to their knowledge base that is concerned with understanding all that the disease is in addition to being brought to speed on the current evidence-based treatment modalities that they could employ in their practice helping to manage patients with the disease. </w:t>
      </w:r>
      <w:r w:rsidR="003D652E" w:rsidRPr="003E6700">
        <w:t xml:space="preserve">In designing patient educational session for someone with this condition, the master’s prepared nurse should use this information to highlight the to the patient the nursing outcomes that are to be expected in the management of the disease since there is no cure yet for the disease and no currently available treatment modality that can reverse the disease process. </w:t>
      </w:r>
    </w:p>
    <w:p w:rsidR="003D652E" w:rsidRPr="003E6700" w:rsidRDefault="003D652E" w:rsidP="003E6700">
      <w:pPr>
        <w:spacing w:line="480" w:lineRule="auto"/>
        <w:ind w:firstLine="720"/>
      </w:pPr>
      <w:r w:rsidRPr="003E6700">
        <w:t xml:space="preserve">The most important information presented in this case is the outline of the available non-pharmacological treatment options available for this disease that the patient and their caregivers could explore in a bid to help improve the patient’s quality of life. The most challenging information presented in this case revolves around making a decision about which implicated </w:t>
      </w:r>
      <w:r w:rsidRPr="003E6700">
        <w:lastRenderedPageBreak/>
        <w:t>pathophysiological pathway is the ultimate summary of the pathogenesis of the disease since each theory has its own limitations that severely curtails its applicability to the pathology of the disease as the definitive pathophysiological pathway. The patient safety issue to be addressed for a patient with this condition is the transition of care since the disease is a chronic and progressive</w:t>
      </w:r>
      <w:r w:rsidR="002703A0" w:rsidRPr="003E6700">
        <w:t xml:space="preserve"> illness that might require the input of various health professionals in addition to physical transfers from and between different facilities. It is important that the healthcare professionals and institutions involved in a patient’s care demonstrate effective communication around the patient’s care so as to ensure continuity and efficiency of the care given to the patient.</w:t>
      </w:r>
    </w:p>
    <w:p w:rsidR="003E6700" w:rsidRDefault="003E6700">
      <w:r>
        <w:br w:type="page"/>
      </w:r>
    </w:p>
    <w:p w:rsidR="002703A0" w:rsidRPr="006060C6" w:rsidRDefault="002703A0" w:rsidP="003E6700">
      <w:pPr>
        <w:spacing w:line="480" w:lineRule="auto"/>
        <w:jc w:val="center"/>
        <w:rPr>
          <w:b/>
        </w:rPr>
      </w:pPr>
      <w:r w:rsidRPr="006060C6">
        <w:rPr>
          <w:b/>
        </w:rPr>
        <w:lastRenderedPageBreak/>
        <w:t>References</w:t>
      </w:r>
      <w:bookmarkStart w:id="0" w:name="_GoBack"/>
      <w:bookmarkEnd w:id="0"/>
    </w:p>
    <w:p w:rsidR="003E6700" w:rsidRPr="003E6700" w:rsidRDefault="002703A0" w:rsidP="003E6700">
      <w:pPr>
        <w:spacing w:line="480" w:lineRule="auto"/>
        <w:ind w:left="720" w:hanging="720"/>
      </w:pPr>
      <w:r w:rsidRPr="003E6700">
        <w:t xml:space="preserve">Alzheimer’s Association Report (AAR) (2020). </w:t>
      </w:r>
      <w:proofErr w:type="gramStart"/>
      <w:r w:rsidRPr="003E6700">
        <w:t>2020 Alzheimer’s disease Facts and Figures.</w:t>
      </w:r>
      <w:proofErr w:type="gramEnd"/>
      <w:r w:rsidRPr="003E6700">
        <w:t xml:space="preserve"> </w:t>
      </w:r>
      <w:r w:rsidRPr="003E6700">
        <w:rPr>
          <w:i/>
        </w:rPr>
        <w:t>Alzheimer’s &amp; Dementia: The Journal of the Alzheimer’s Association</w:t>
      </w:r>
      <w:r w:rsidRPr="003E6700">
        <w:t>, 16(3): 391-460</w:t>
      </w:r>
    </w:p>
    <w:p w:rsidR="002703A0" w:rsidRPr="003E6700" w:rsidRDefault="002703A0" w:rsidP="003E6700">
      <w:pPr>
        <w:spacing w:line="480" w:lineRule="auto"/>
        <w:ind w:left="720" w:hanging="720"/>
      </w:pPr>
      <w:proofErr w:type="spellStart"/>
      <w:r w:rsidRPr="003E6700">
        <w:t>Swerdlow</w:t>
      </w:r>
      <w:proofErr w:type="spellEnd"/>
      <w:r w:rsidRPr="003E6700">
        <w:t xml:space="preserve">, H. R. (2007). </w:t>
      </w:r>
      <w:proofErr w:type="gramStart"/>
      <w:r w:rsidRPr="003E6700">
        <w:t>Pathogenesis of Alzheimer’s disease.</w:t>
      </w:r>
      <w:proofErr w:type="gramEnd"/>
      <w:r w:rsidRPr="003E6700">
        <w:t xml:space="preserve"> </w:t>
      </w:r>
      <w:proofErr w:type="spellStart"/>
      <w:r w:rsidRPr="003E6700">
        <w:rPr>
          <w:i/>
        </w:rPr>
        <w:t>Clin</w:t>
      </w:r>
      <w:proofErr w:type="spellEnd"/>
      <w:r w:rsidRPr="003E6700">
        <w:rPr>
          <w:i/>
        </w:rPr>
        <w:t xml:space="preserve"> </w:t>
      </w:r>
      <w:proofErr w:type="spellStart"/>
      <w:r w:rsidRPr="003E6700">
        <w:rPr>
          <w:i/>
        </w:rPr>
        <w:t>Interv</w:t>
      </w:r>
      <w:proofErr w:type="spellEnd"/>
      <w:r w:rsidRPr="003E6700">
        <w:rPr>
          <w:i/>
        </w:rPr>
        <w:t xml:space="preserve"> Aging</w:t>
      </w:r>
      <w:r w:rsidRPr="003E6700">
        <w:t>, 2(3): 347-359</w:t>
      </w:r>
    </w:p>
    <w:p w:rsidR="002703A0" w:rsidRPr="003E6700" w:rsidRDefault="002703A0" w:rsidP="003E6700">
      <w:pPr>
        <w:spacing w:line="480" w:lineRule="auto"/>
        <w:ind w:left="720" w:hanging="720"/>
      </w:pPr>
      <w:proofErr w:type="gramStart"/>
      <w:r w:rsidRPr="003E6700">
        <w:t xml:space="preserve">Weller, J. &amp; </w:t>
      </w:r>
      <w:proofErr w:type="spellStart"/>
      <w:r w:rsidRPr="003E6700">
        <w:t>Budson</w:t>
      </w:r>
      <w:proofErr w:type="spellEnd"/>
      <w:r w:rsidRPr="003E6700">
        <w:t>, A. (2018)</w:t>
      </w:r>
      <w:r w:rsidR="00C6581D">
        <w:t>.</w:t>
      </w:r>
      <w:proofErr w:type="gramEnd"/>
      <w:r w:rsidR="00C6581D">
        <w:t xml:space="preserve"> </w:t>
      </w:r>
      <w:proofErr w:type="gramStart"/>
      <w:r w:rsidR="00C6581D">
        <w:t>Current u</w:t>
      </w:r>
      <w:r w:rsidRPr="003E6700">
        <w:t>nderstanding of Alzheimer</w:t>
      </w:r>
      <w:r w:rsidR="00C6581D">
        <w:t>’s disease Diagnosis and Treatm</w:t>
      </w:r>
      <w:r w:rsidRPr="003E6700">
        <w:t>e</w:t>
      </w:r>
      <w:r w:rsidR="00C6581D">
        <w:t>n</w:t>
      </w:r>
      <w:r w:rsidRPr="003E6700">
        <w:t>t.</w:t>
      </w:r>
      <w:proofErr w:type="gramEnd"/>
      <w:r w:rsidRPr="003E6700">
        <w:t xml:space="preserve"> </w:t>
      </w:r>
      <w:r w:rsidRPr="003E6700">
        <w:rPr>
          <w:i/>
        </w:rPr>
        <w:t xml:space="preserve">F1000Research, </w:t>
      </w:r>
      <w:r w:rsidRPr="003E6700">
        <w:t>7: F1000 Faculty Rev-1161</w:t>
      </w:r>
    </w:p>
    <w:p w:rsidR="003E6700" w:rsidRPr="003E6700" w:rsidRDefault="003E6700" w:rsidP="003E6700">
      <w:pPr>
        <w:spacing w:line="480" w:lineRule="auto"/>
        <w:ind w:left="720" w:hanging="720"/>
      </w:pPr>
      <w:proofErr w:type="spellStart"/>
      <w:proofErr w:type="gramStart"/>
      <w:r w:rsidRPr="003E6700">
        <w:t>Zucchella</w:t>
      </w:r>
      <w:proofErr w:type="spellEnd"/>
      <w:r w:rsidRPr="003E6700">
        <w:t xml:space="preserve">, C., </w:t>
      </w:r>
      <w:proofErr w:type="spellStart"/>
      <w:r w:rsidRPr="003E6700">
        <w:t>Sinforiani</w:t>
      </w:r>
      <w:proofErr w:type="spellEnd"/>
      <w:r w:rsidRPr="003E6700">
        <w:t xml:space="preserve">, E., </w:t>
      </w:r>
      <w:proofErr w:type="spellStart"/>
      <w:r w:rsidRPr="003E6700">
        <w:t>Tamburin</w:t>
      </w:r>
      <w:proofErr w:type="spellEnd"/>
      <w:r w:rsidRPr="003E6700">
        <w:t xml:space="preserve">, S., Federico, A., </w:t>
      </w:r>
      <w:proofErr w:type="spellStart"/>
      <w:r w:rsidRPr="003E6700">
        <w:t>Mantovani</w:t>
      </w:r>
      <w:proofErr w:type="spellEnd"/>
      <w:r w:rsidRPr="003E6700">
        <w:t xml:space="preserve">, E., Bernini, S., </w:t>
      </w:r>
      <w:proofErr w:type="spellStart"/>
      <w:r w:rsidRPr="003E6700">
        <w:t>Casale</w:t>
      </w:r>
      <w:proofErr w:type="spellEnd"/>
      <w:r w:rsidRPr="003E6700">
        <w:t xml:space="preserve">, R., &amp; </w:t>
      </w:r>
      <w:proofErr w:type="spellStart"/>
      <w:r w:rsidRPr="003E6700">
        <w:t>Bartolo</w:t>
      </w:r>
      <w:proofErr w:type="spellEnd"/>
      <w:r w:rsidRPr="003E6700">
        <w:t>, M. (2018).</w:t>
      </w:r>
      <w:proofErr w:type="gramEnd"/>
      <w:r w:rsidRPr="003E6700">
        <w:t xml:space="preserve"> The Multidisciplinary Approach to Alzheimer</w:t>
      </w:r>
      <w:r w:rsidR="00C6581D">
        <w:t>’s d</w:t>
      </w:r>
      <w:r w:rsidRPr="003E6700">
        <w:t xml:space="preserve">isease and Dementia: A Narrative Review of Non-Pharmacological Treatment. </w:t>
      </w:r>
      <w:r w:rsidRPr="003E6700">
        <w:rPr>
          <w:i/>
        </w:rPr>
        <w:t>Front. Neurol</w:t>
      </w:r>
      <w:r w:rsidRPr="003E6700">
        <w:t>., 9: 1058</w:t>
      </w:r>
    </w:p>
    <w:sectPr w:rsidR="003E6700" w:rsidRPr="003E670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10F" w:rsidRDefault="00A5710F" w:rsidP="003E6700">
      <w:pPr>
        <w:spacing w:after="0" w:line="240" w:lineRule="auto"/>
      </w:pPr>
      <w:r>
        <w:separator/>
      </w:r>
    </w:p>
  </w:endnote>
  <w:endnote w:type="continuationSeparator" w:id="0">
    <w:p w:rsidR="00A5710F" w:rsidRDefault="00A5710F" w:rsidP="003E6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10F" w:rsidRDefault="00A5710F" w:rsidP="003E6700">
      <w:pPr>
        <w:spacing w:after="0" w:line="240" w:lineRule="auto"/>
      </w:pPr>
      <w:r>
        <w:separator/>
      </w:r>
    </w:p>
  </w:footnote>
  <w:footnote w:type="continuationSeparator" w:id="0">
    <w:p w:rsidR="00A5710F" w:rsidRDefault="00A5710F" w:rsidP="003E67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1038453"/>
      <w:docPartObj>
        <w:docPartGallery w:val="Page Numbers (Top of Page)"/>
        <w:docPartUnique/>
      </w:docPartObj>
    </w:sdtPr>
    <w:sdtEndPr>
      <w:rPr>
        <w:noProof/>
      </w:rPr>
    </w:sdtEndPr>
    <w:sdtContent>
      <w:p w:rsidR="003E6700" w:rsidRDefault="003E6700">
        <w:pPr>
          <w:pStyle w:val="Header"/>
          <w:jc w:val="right"/>
        </w:pPr>
        <w:r>
          <w:fldChar w:fldCharType="begin"/>
        </w:r>
        <w:r>
          <w:instrText xml:space="preserve"> PAGE   \* MERGEFORMAT </w:instrText>
        </w:r>
        <w:r>
          <w:fldChar w:fldCharType="separate"/>
        </w:r>
        <w:r w:rsidR="006060C6">
          <w:rPr>
            <w:noProof/>
          </w:rPr>
          <w:t>6</w:t>
        </w:r>
        <w:r>
          <w:rPr>
            <w:noProof/>
          </w:rPr>
          <w:fldChar w:fldCharType="end"/>
        </w:r>
      </w:p>
    </w:sdtContent>
  </w:sdt>
  <w:p w:rsidR="003E6700" w:rsidRDefault="003E67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4FD"/>
    <w:rsid w:val="0000332F"/>
    <w:rsid w:val="002703A0"/>
    <w:rsid w:val="00280713"/>
    <w:rsid w:val="003D04FD"/>
    <w:rsid w:val="003D652E"/>
    <w:rsid w:val="003E6700"/>
    <w:rsid w:val="004E0993"/>
    <w:rsid w:val="005A5160"/>
    <w:rsid w:val="006060C6"/>
    <w:rsid w:val="007E10E8"/>
    <w:rsid w:val="008E5383"/>
    <w:rsid w:val="00934CF0"/>
    <w:rsid w:val="00A37ADF"/>
    <w:rsid w:val="00A5710F"/>
    <w:rsid w:val="00C6581D"/>
    <w:rsid w:val="00E52581"/>
    <w:rsid w:val="00FB7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67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700"/>
  </w:style>
  <w:style w:type="paragraph" w:styleId="Footer">
    <w:name w:val="footer"/>
    <w:basedOn w:val="Normal"/>
    <w:link w:val="FooterChar"/>
    <w:uiPriority w:val="99"/>
    <w:unhideWhenUsed/>
    <w:rsid w:val="003E67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7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67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700"/>
  </w:style>
  <w:style w:type="paragraph" w:styleId="Footer">
    <w:name w:val="footer"/>
    <w:basedOn w:val="Normal"/>
    <w:link w:val="FooterChar"/>
    <w:uiPriority w:val="99"/>
    <w:unhideWhenUsed/>
    <w:rsid w:val="003E67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6</Pages>
  <Words>1161</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5</cp:revision>
  <dcterms:created xsi:type="dcterms:W3CDTF">2020-05-31T15:44:00Z</dcterms:created>
  <dcterms:modified xsi:type="dcterms:W3CDTF">2020-05-31T18:23:00Z</dcterms:modified>
</cp:coreProperties>
</file>